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C22B" w14:textId="3D03409B" w:rsidR="00DB48D4" w:rsidRPr="00103542" w:rsidRDefault="00DB48D4" w:rsidP="00DB002C">
      <w:pPr>
        <w:spacing w:after="0" w:line="240" w:lineRule="auto"/>
        <w:ind w:right="283"/>
        <w:jc w:val="both"/>
        <w:rPr>
          <w:b/>
          <w:bCs/>
          <w:color w:val="C00000"/>
        </w:rPr>
      </w:pPr>
      <w:r w:rsidRPr="00103542">
        <w:rPr>
          <w:b/>
          <w:bCs/>
          <w:color w:val="C00000"/>
        </w:rPr>
        <w:t>Le financement des établissements de l’Enseignement catholique</w:t>
      </w:r>
    </w:p>
    <w:p w14:paraId="1FAB3E0C" w14:textId="77777777" w:rsidR="00B10A19" w:rsidRPr="00DB002C" w:rsidRDefault="00B10A19" w:rsidP="00DB002C">
      <w:pPr>
        <w:spacing w:after="0" w:line="240" w:lineRule="auto"/>
        <w:ind w:right="283"/>
        <w:jc w:val="both"/>
      </w:pPr>
    </w:p>
    <w:p w14:paraId="52A113A1" w14:textId="251571CA" w:rsidR="001212C8" w:rsidRPr="00DB002C" w:rsidRDefault="001212C8" w:rsidP="00DB002C">
      <w:pPr>
        <w:spacing w:after="0" w:line="240" w:lineRule="auto"/>
        <w:ind w:right="283"/>
        <w:jc w:val="both"/>
      </w:pPr>
      <w:r w:rsidRPr="00DB002C">
        <w:t xml:space="preserve">Etat, collectivités territoriales, familles… une école catholique associée par contrat au service public de l’éducation nationale est financée de manière complexe, selon un cadre établi par la loi. </w:t>
      </w:r>
    </w:p>
    <w:p w14:paraId="70611ECE" w14:textId="7BB257A2" w:rsidR="00306DC2" w:rsidRPr="00DB002C" w:rsidRDefault="001212C8" w:rsidP="00DB002C">
      <w:pPr>
        <w:spacing w:after="0" w:line="240" w:lineRule="auto"/>
        <w:ind w:right="283"/>
        <w:jc w:val="both"/>
      </w:pPr>
      <w:r w:rsidRPr="00DB002C">
        <w:t xml:space="preserve">1/ </w:t>
      </w:r>
      <w:r w:rsidR="00590115" w:rsidRPr="00805AFF">
        <w:rPr>
          <w:b/>
          <w:bCs/>
        </w:rPr>
        <w:t>La Loi</w:t>
      </w:r>
      <w:r w:rsidR="00590115" w:rsidRPr="00DB002C">
        <w:t xml:space="preserve"> assure les conditions de la gratuité de l’enseignement </w:t>
      </w:r>
      <w:r w:rsidR="005D71B8" w:rsidRPr="00DB002C">
        <w:t>pour que les familles puissent choisir librement l’école de leurs enfants.</w:t>
      </w:r>
      <w:r w:rsidR="00306DC2" w:rsidRPr="00DB002C">
        <w:t xml:space="preserve"> Ainsi, les établissements de l’Enseignement catholique sont financés pour partie par l’État et les collectivités territoriales. </w:t>
      </w:r>
    </w:p>
    <w:p w14:paraId="4E25C650" w14:textId="77777777" w:rsidR="00306DC2" w:rsidRPr="00DB002C" w:rsidRDefault="00306DC2" w:rsidP="00DB002C">
      <w:pPr>
        <w:spacing w:after="0" w:line="240" w:lineRule="auto"/>
        <w:ind w:right="283"/>
        <w:jc w:val="both"/>
      </w:pPr>
    </w:p>
    <w:p w14:paraId="6654BBF4" w14:textId="6E7F9F12" w:rsidR="00306DC2" w:rsidRPr="00DB002C" w:rsidRDefault="00306DC2" w:rsidP="00DB002C">
      <w:pPr>
        <w:spacing w:after="0" w:line="240" w:lineRule="auto"/>
        <w:ind w:right="283"/>
        <w:jc w:val="both"/>
      </w:pPr>
      <w:r w:rsidRPr="00DB002C">
        <w:t>2/</w:t>
      </w:r>
      <w:r w:rsidRPr="00805AFF">
        <w:rPr>
          <w:b/>
          <w:bCs/>
        </w:rPr>
        <w:t xml:space="preserve"> L’État</w:t>
      </w:r>
      <w:r w:rsidRPr="00DB002C">
        <w:t xml:space="preserve"> prend en charge la rémunération des enseignants ainsi que les dépenses de la formation initiale et continue des enseignants. Il </w:t>
      </w:r>
      <w:r w:rsidR="00805AFF">
        <w:t>finance également</w:t>
      </w:r>
      <w:r w:rsidRPr="00DB002C">
        <w:t xml:space="preserve"> une partie des dépenses de fonctionnement, notamment des dépenses pédagogiques et matériel.</w:t>
      </w:r>
    </w:p>
    <w:p w14:paraId="0782F3A5" w14:textId="77777777" w:rsidR="00306DC2" w:rsidRPr="00DB002C" w:rsidRDefault="00306DC2" w:rsidP="00DB002C">
      <w:pPr>
        <w:spacing w:after="0" w:line="240" w:lineRule="auto"/>
        <w:ind w:right="283"/>
        <w:jc w:val="both"/>
      </w:pPr>
    </w:p>
    <w:p w14:paraId="39AE070A" w14:textId="109C770E" w:rsidR="00306DC2" w:rsidRPr="00DB002C" w:rsidRDefault="00306DC2" w:rsidP="00DB002C">
      <w:pPr>
        <w:spacing w:after="0" w:line="240" w:lineRule="auto"/>
        <w:ind w:right="283"/>
        <w:jc w:val="both"/>
      </w:pPr>
      <w:r w:rsidRPr="00DB002C">
        <w:t xml:space="preserve">3/ </w:t>
      </w:r>
      <w:r w:rsidRPr="00DB002C">
        <w:rPr>
          <w:b/>
          <w:bCs/>
        </w:rPr>
        <w:t>Les collectivités territoriales</w:t>
      </w:r>
      <w:r w:rsidR="00DB002C" w:rsidRPr="00DB002C">
        <w:t xml:space="preserve">, communes, département et régions, </w:t>
      </w:r>
      <w:r w:rsidRPr="00DB002C">
        <w:t xml:space="preserve">assurent </w:t>
      </w:r>
      <w:r w:rsidR="00DB002C" w:rsidRPr="00DB002C">
        <w:t xml:space="preserve">selon leurs compétences </w:t>
      </w:r>
      <w:r w:rsidRPr="00DB002C">
        <w:t>une partie des dépenses de fonctionnement des établissements à travers ce qu’on appelle globalement le forfait d’externat. Ce forfait est calculé sur la base du coût d’un élève dans les écoles, collèges et lycées publics. Il varie d’un territoire à un autre.</w:t>
      </w:r>
    </w:p>
    <w:p w14:paraId="5599BBE9" w14:textId="4DE5038E" w:rsidR="00306DC2" w:rsidRPr="00DB002C" w:rsidRDefault="00306DC2" w:rsidP="00DB002C">
      <w:pPr>
        <w:spacing w:after="0" w:line="240" w:lineRule="auto"/>
        <w:ind w:right="283"/>
        <w:jc w:val="both"/>
      </w:pPr>
      <w:r w:rsidRPr="00DB002C">
        <w:t xml:space="preserve">Ces financements sont </w:t>
      </w:r>
      <w:r w:rsidR="00DB002C" w:rsidRPr="00DB002C">
        <w:t xml:space="preserve">aussi </w:t>
      </w:r>
      <w:r w:rsidRPr="00DB002C">
        <w:t xml:space="preserve">prévus </w:t>
      </w:r>
      <w:r w:rsidR="00DB002C" w:rsidRPr="00DB002C">
        <w:t xml:space="preserve">par la loi et sont essentiels : ils </w:t>
      </w:r>
      <w:r w:rsidRPr="00DB002C">
        <w:t xml:space="preserve">permettent </w:t>
      </w:r>
      <w:r w:rsidR="00DB002C" w:rsidRPr="00DB002C">
        <w:t xml:space="preserve">notamment </w:t>
      </w:r>
      <w:r w:rsidRPr="00DB002C">
        <w:t>de rémunérer le personnel non-enseignant.</w:t>
      </w:r>
    </w:p>
    <w:p w14:paraId="11EB2AD3" w14:textId="77777777" w:rsidR="00DB002C" w:rsidRPr="00DB002C" w:rsidRDefault="00DB002C" w:rsidP="00DB002C">
      <w:pPr>
        <w:spacing w:after="0" w:line="240" w:lineRule="auto"/>
        <w:ind w:right="283"/>
        <w:jc w:val="both"/>
      </w:pPr>
    </w:p>
    <w:p w14:paraId="5FCCA496" w14:textId="3D78041D" w:rsidR="00306DC2" w:rsidRPr="00DB002C" w:rsidRDefault="00DB002C" w:rsidP="00DB002C">
      <w:pPr>
        <w:spacing w:after="0" w:line="240" w:lineRule="auto"/>
        <w:ind w:right="283"/>
        <w:jc w:val="both"/>
      </w:pPr>
      <w:r w:rsidRPr="00DB002C">
        <w:t xml:space="preserve">4/ </w:t>
      </w:r>
      <w:r w:rsidR="00805AFF" w:rsidRPr="00805AFF">
        <w:rPr>
          <w:b/>
          <w:bCs/>
        </w:rPr>
        <w:t>Ces financements publics</w:t>
      </w:r>
      <w:r w:rsidRPr="00DB002C">
        <w:t xml:space="preserve"> constituent une part importante du budget des écoles, près de 75 %. </w:t>
      </w:r>
      <w:r w:rsidR="00805AFF">
        <w:t>De plus, l</w:t>
      </w:r>
      <w:r w:rsidRPr="00DB002C">
        <w:t>es collectivités territoriales peuvent participer aux investissements des établissements, sous la forme traditionnelle de subventions</w:t>
      </w:r>
      <w:r w:rsidR="00805AFF">
        <w:t xml:space="preserve">. Elles peuvent également prendre à leur charge </w:t>
      </w:r>
      <w:r w:rsidRPr="00DB002C">
        <w:t xml:space="preserve">des mesures à caractère social </w:t>
      </w:r>
      <w:r w:rsidR="00805AFF">
        <w:t>telles que</w:t>
      </w:r>
      <w:r w:rsidRPr="00DB002C">
        <w:t xml:space="preserve"> la restauration scolaire ou les transports. </w:t>
      </w:r>
    </w:p>
    <w:p w14:paraId="72EDB5BD" w14:textId="77777777" w:rsidR="00306DC2" w:rsidRPr="00DB002C" w:rsidRDefault="00306DC2" w:rsidP="00DB002C">
      <w:pPr>
        <w:spacing w:after="0" w:line="240" w:lineRule="auto"/>
        <w:ind w:right="283"/>
        <w:jc w:val="both"/>
      </w:pPr>
    </w:p>
    <w:p w14:paraId="4A979120" w14:textId="4D5AF374" w:rsidR="00DB002C" w:rsidRPr="00DB002C" w:rsidRDefault="00DB002C" w:rsidP="00DB002C">
      <w:pPr>
        <w:spacing w:after="0" w:line="240" w:lineRule="auto"/>
        <w:ind w:right="283"/>
        <w:jc w:val="both"/>
      </w:pPr>
      <w:r w:rsidRPr="00DB002C">
        <w:rPr>
          <w:b/>
          <w:bCs/>
        </w:rPr>
        <w:t xml:space="preserve">5/ La contribution versée par les </w:t>
      </w:r>
      <w:r w:rsidR="00CB3A9D" w:rsidRPr="00DB002C">
        <w:rPr>
          <w:b/>
          <w:bCs/>
        </w:rPr>
        <w:t>f</w:t>
      </w:r>
      <w:r w:rsidR="00000F6C" w:rsidRPr="00DB002C">
        <w:rPr>
          <w:b/>
          <w:bCs/>
        </w:rPr>
        <w:t>amille</w:t>
      </w:r>
      <w:r w:rsidR="001316CF" w:rsidRPr="00DB002C">
        <w:rPr>
          <w:b/>
          <w:bCs/>
        </w:rPr>
        <w:t>s</w:t>
      </w:r>
      <w:r w:rsidR="00103542">
        <w:rPr>
          <w:b/>
          <w:bCs/>
        </w:rPr>
        <w:t>,</w:t>
      </w:r>
      <w:r w:rsidR="00000F6C" w:rsidRPr="00DB002C">
        <w:t xml:space="preserve"> </w:t>
      </w:r>
      <w:r w:rsidR="00103542" w:rsidRPr="00DB002C">
        <w:t>souvent appelées « frais de scolarité »</w:t>
      </w:r>
      <w:r w:rsidR="00103542">
        <w:t xml:space="preserve">, </w:t>
      </w:r>
      <w:r w:rsidRPr="00DB002C">
        <w:t xml:space="preserve">permet à l’organisme de gestion de l’école (OGEC) d’assurer la gestion des bâtiments ((construction, rénovation, mise aux normes et entretien), de proposer des </w:t>
      </w:r>
      <w:r w:rsidRPr="00103542">
        <w:t>activités éducatives, culturelles et sportives</w:t>
      </w:r>
      <w:r w:rsidRPr="00DB002C">
        <w:rPr>
          <w:b/>
          <w:bCs/>
        </w:rPr>
        <w:t xml:space="preserve"> (</w:t>
      </w:r>
      <w:r w:rsidRPr="00DB002C">
        <w:t xml:space="preserve">matériel, sorties, voyages, etc.), et de faire face aux </w:t>
      </w:r>
      <w:r w:rsidRPr="00103542">
        <w:rPr>
          <w:strike/>
        </w:rPr>
        <w:t>surcoûts conjoncturels</w:t>
      </w:r>
      <w:r w:rsidRPr="00103542">
        <w:rPr>
          <w:b/>
          <w:bCs/>
          <w:strike/>
        </w:rPr>
        <w:t xml:space="preserve"> </w:t>
      </w:r>
      <w:r w:rsidRPr="00103542">
        <w:rPr>
          <w:strike/>
        </w:rPr>
        <w:t>(inflation, augmentation des prix de l’énergie, etc.),</w:t>
      </w:r>
      <w:r w:rsidRPr="00DB002C">
        <w:t xml:space="preserve"> et bien sûr de de financer </w:t>
      </w:r>
      <w:r w:rsidRPr="00DB002C">
        <w:rPr>
          <w:b/>
          <w:bCs/>
        </w:rPr>
        <w:t xml:space="preserve">la dimension religieuse et spirituelle </w:t>
      </w:r>
      <w:r w:rsidRPr="00DB002C">
        <w:t>du projet éducatif</w:t>
      </w:r>
      <w:r>
        <w:t>.</w:t>
      </w:r>
    </w:p>
    <w:p w14:paraId="677024BE" w14:textId="77777777" w:rsidR="00DB002C" w:rsidRPr="00DB002C" w:rsidRDefault="00DB002C" w:rsidP="00DB002C">
      <w:pPr>
        <w:spacing w:after="0" w:line="240" w:lineRule="auto"/>
        <w:ind w:right="283"/>
        <w:jc w:val="both"/>
      </w:pPr>
    </w:p>
    <w:p w14:paraId="3B9739D4" w14:textId="1D4BD448" w:rsidR="00DB002C" w:rsidRPr="00590C25" w:rsidRDefault="00DB002C" w:rsidP="00DB002C">
      <w:pPr>
        <w:spacing w:after="0" w:line="240" w:lineRule="auto"/>
        <w:ind w:right="283"/>
        <w:jc w:val="both"/>
        <w:rPr>
          <w:b/>
          <w:bCs/>
          <w:i/>
          <w:iCs/>
          <w:color w:val="C00000"/>
        </w:rPr>
      </w:pPr>
      <w:r w:rsidRPr="00590C25">
        <w:rPr>
          <w:b/>
          <w:bCs/>
          <w:i/>
          <w:iCs/>
          <w:color w:val="C00000"/>
        </w:rPr>
        <w:t>Les questions du débat :</w:t>
      </w:r>
    </w:p>
    <w:p w14:paraId="7DD8642D" w14:textId="77777777" w:rsidR="00103542" w:rsidRPr="00103542" w:rsidRDefault="00103542" w:rsidP="00DB002C">
      <w:pPr>
        <w:spacing w:after="0" w:line="240" w:lineRule="auto"/>
        <w:ind w:right="283"/>
        <w:jc w:val="both"/>
        <w:rPr>
          <w:i/>
          <w:iCs/>
          <w:color w:val="C00000"/>
        </w:rPr>
      </w:pPr>
    </w:p>
    <w:p w14:paraId="0C0296AC" w14:textId="77C05715" w:rsidR="00805AFF" w:rsidRPr="00DB002C" w:rsidRDefault="00103542" w:rsidP="00103542">
      <w:pPr>
        <w:spacing w:after="0" w:line="240" w:lineRule="auto"/>
        <w:ind w:right="283"/>
        <w:jc w:val="both"/>
      </w:pPr>
      <w:r>
        <w:t xml:space="preserve">-Une </w:t>
      </w:r>
      <w:r w:rsidRPr="00DB002C">
        <w:t>liberté</w:t>
      </w:r>
      <w:r>
        <w:t xml:space="preserve"> existe-t-elle sans argent ?</w:t>
      </w:r>
    </w:p>
    <w:p w14:paraId="4CA25E25" w14:textId="77777777" w:rsidR="00805AFF" w:rsidRPr="00DB002C" w:rsidRDefault="00805AFF" w:rsidP="00DB002C">
      <w:pPr>
        <w:spacing w:after="0" w:line="240" w:lineRule="auto"/>
        <w:ind w:right="283"/>
        <w:jc w:val="both"/>
        <w:rPr>
          <w:i/>
          <w:iCs/>
        </w:rPr>
      </w:pPr>
    </w:p>
    <w:p w14:paraId="5E7B1050" w14:textId="28D9AF99" w:rsidR="00DB002C" w:rsidRDefault="00103542" w:rsidP="00DB002C">
      <w:pPr>
        <w:spacing w:after="0" w:line="240" w:lineRule="auto"/>
        <w:ind w:right="283"/>
        <w:jc w:val="both"/>
      </w:pPr>
      <w:r>
        <w:t>-</w:t>
      </w:r>
      <w:r w:rsidR="00DB002C">
        <w:t>Peut-on vraiment jouir d’une liberté éducative quand 75 % du financement dépend de l’argent public ?</w:t>
      </w:r>
    </w:p>
    <w:p w14:paraId="20D4F222" w14:textId="77777777" w:rsidR="00103542" w:rsidRDefault="00103542" w:rsidP="00DB002C">
      <w:pPr>
        <w:spacing w:after="0" w:line="240" w:lineRule="auto"/>
        <w:ind w:right="283"/>
        <w:jc w:val="both"/>
      </w:pPr>
    </w:p>
    <w:p w14:paraId="7FDF6EE7" w14:textId="56D009C2" w:rsidR="00DB002C" w:rsidRDefault="00103542" w:rsidP="00DB002C">
      <w:pPr>
        <w:spacing w:after="0" w:line="240" w:lineRule="auto"/>
        <w:ind w:right="283"/>
        <w:jc w:val="both"/>
      </w:pPr>
      <w:r>
        <w:t>-</w:t>
      </w:r>
      <w:r w:rsidR="00DB002C">
        <w:t xml:space="preserve">Si les familles doivent payer pour compléter ce que la loi </w:t>
      </w:r>
      <w:r>
        <w:t>devrait</w:t>
      </w:r>
      <w:r w:rsidR="00DB002C">
        <w:t xml:space="preserve"> finance</w:t>
      </w:r>
      <w:r>
        <w:t>r</w:t>
      </w:r>
      <w:r w:rsidR="00DB002C">
        <w:t xml:space="preserve"> la liberté de choix de l’école est-elle vraiment accessible à tous ?</w:t>
      </w:r>
    </w:p>
    <w:p w14:paraId="444CDFED" w14:textId="77777777" w:rsidR="00103542" w:rsidRDefault="00103542" w:rsidP="00805AFF">
      <w:pPr>
        <w:spacing w:after="0" w:line="240" w:lineRule="auto"/>
        <w:ind w:right="283"/>
        <w:jc w:val="both"/>
      </w:pPr>
    </w:p>
    <w:p w14:paraId="523DAE4E" w14:textId="54375D7D" w:rsidR="00805AFF" w:rsidRDefault="00103542" w:rsidP="00805AFF">
      <w:pPr>
        <w:spacing w:after="0" w:line="240" w:lineRule="auto"/>
        <w:ind w:right="283"/>
        <w:jc w:val="both"/>
      </w:pPr>
      <w:r>
        <w:t>-</w:t>
      </w:r>
      <w:r w:rsidR="00DB002C">
        <w:t>L’école catholique est-elle libre parce qu’elle est différente… ou parce que les familles acceptent de payer cette différence ?</w:t>
      </w:r>
      <w:r w:rsidR="00805AFF" w:rsidRPr="00805AFF">
        <w:t xml:space="preserve"> </w:t>
      </w:r>
    </w:p>
    <w:p w14:paraId="03CDC200" w14:textId="77777777" w:rsidR="00805AFF" w:rsidRDefault="00805AFF" w:rsidP="00805AFF">
      <w:pPr>
        <w:spacing w:after="0" w:line="240" w:lineRule="auto"/>
        <w:ind w:right="283"/>
        <w:jc w:val="both"/>
      </w:pPr>
    </w:p>
    <w:p w14:paraId="42BB12F9" w14:textId="210F2EC7" w:rsidR="00805AFF" w:rsidRPr="00DB002C" w:rsidRDefault="00590C25" w:rsidP="00805AFF">
      <w:pPr>
        <w:spacing w:after="0" w:line="240" w:lineRule="auto"/>
        <w:ind w:right="283"/>
        <w:jc w:val="both"/>
      </w:pPr>
      <w:r>
        <w:t>-</w:t>
      </w:r>
      <w:r w:rsidR="00805AFF" w:rsidRPr="00DB002C">
        <w:t xml:space="preserve">Les travaux récents de la FNOGEC et de nombreux exemples dans l’actualité ont conduit à un constat sans appel : le compte n’y est pas dans la part de financement public des </w:t>
      </w:r>
      <w:r w:rsidR="00805AFF" w:rsidRPr="00DB002C">
        <w:lastRenderedPageBreak/>
        <w:t>établissements de l’enseignement catholique.</w:t>
      </w:r>
      <w:r>
        <w:t xml:space="preserve"> Pourrait-on imaginer un mode de financement plus simple ?</w:t>
      </w:r>
    </w:p>
    <w:p w14:paraId="1DD3A3F7" w14:textId="77777777" w:rsidR="00805AFF" w:rsidRPr="00DB002C" w:rsidRDefault="00805AFF" w:rsidP="00805AFF">
      <w:pPr>
        <w:spacing w:after="0" w:line="240" w:lineRule="auto"/>
        <w:ind w:right="283"/>
        <w:jc w:val="both"/>
      </w:pPr>
    </w:p>
    <w:p w14:paraId="7A2CFF25" w14:textId="5B45F579" w:rsidR="00036A11" w:rsidRDefault="00036A11" w:rsidP="00DB002C">
      <w:pPr>
        <w:spacing w:after="0" w:line="240" w:lineRule="auto"/>
        <w:ind w:right="283"/>
        <w:jc w:val="both"/>
      </w:pPr>
    </w:p>
    <w:sectPr w:rsidR="00036A11" w:rsidSect="00DB00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418C"/>
    <w:multiLevelType w:val="hybridMultilevel"/>
    <w:tmpl w:val="D1868302"/>
    <w:lvl w:ilvl="0" w:tplc="2BD4AC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6583D"/>
    <w:multiLevelType w:val="hybridMultilevel"/>
    <w:tmpl w:val="DE10C6EC"/>
    <w:lvl w:ilvl="0" w:tplc="828499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1026">
    <w:abstractNumId w:val="0"/>
  </w:num>
  <w:num w:numId="2" w16cid:durableId="120097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26"/>
    <w:rsid w:val="00000F6C"/>
    <w:rsid w:val="000021DC"/>
    <w:rsid w:val="00007920"/>
    <w:rsid w:val="00025123"/>
    <w:rsid w:val="00036A11"/>
    <w:rsid w:val="00040AC7"/>
    <w:rsid w:val="000651E4"/>
    <w:rsid w:val="000B0B4C"/>
    <w:rsid w:val="000B3D37"/>
    <w:rsid w:val="000C2B60"/>
    <w:rsid w:val="00103542"/>
    <w:rsid w:val="001212C8"/>
    <w:rsid w:val="001266B7"/>
    <w:rsid w:val="001316CF"/>
    <w:rsid w:val="001C1EFD"/>
    <w:rsid w:val="001D3758"/>
    <w:rsid w:val="001F666F"/>
    <w:rsid w:val="00201862"/>
    <w:rsid w:val="002030C8"/>
    <w:rsid w:val="00217A1D"/>
    <w:rsid w:val="00251E76"/>
    <w:rsid w:val="002B0015"/>
    <w:rsid w:val="002B4A2C"/>
    <w:rsid w:val="002E4B48"/>
    <w:rsid w:val="002E540A"/>
    <w:rsid w:val="002F3F28"/>
    <w:rsid w:val="00304F69"/>
    <w:rsid w:val="00306DC2"/>
    <w:rsid w:val="00312C04"/>
    <w:rsid w:val="00356054"/>
    <w:rsid w:val="003628F3"/>
    <w:rsid w:val="003930CF"/>
    <w:rsid w:val="003B2B54"/>
    <w:rsid w:val="003B5497"/>
    <w:rsid w:val="00443026"/>
    <w:rsid w:val="00475C4F"/>
    <w:rsid w:val="0048580B"/>
    <w:rsid w:val="004C17A1"/>
    <w:rsid w:val="004E34F7"/>
    <w:rsid w:val="0051747B"/>
    <w:rsid w:val="00520B5B"/>
    <w:rsid w:val="00571BEF"/>
    <w:rsid w:val="00590115"/>
    <w:rsid w:val="00590C25"/>
    <w:rsid w:val="005B746C"/>
    <w:rsid w:val="005D71B8"/>
    <w:rsid w:val="00626AB7"/>
    <w:rsid w:val="00631D9B"/>
    <w:rsid w:val="00643988"/>
    <w:rsid w:val="006519AD"/>
    <w:rsid w:val="007059CC"/>
    <w:rsid w:val="00766AAB"/>
    <w:rsid w:val="007671BE"/>
    <w:rsid w:val="00772F71"/>
    <w:rsid w:val="00774A1F"/>
    <w:rsid w:val="007C54DE"/>
    <w:rsid w:val="007D0A42"/>
    <w:rsid w:val="007D4594"/>
    <w:rsid w:val="007F520D"/>
    <w:rsid w:val="008014F2"/>
    <w:rsid w:val="008058D1"/>
    <w:rsid w:val="00805AFF"/>
    <w:rsid w:val="008312FB"/>
    <w:rsid w:val="00860D60"/>
    <w:rsid w:val="008A4162"/>
    <w:rsid w:val="008B1836"/>
    <w:rsid w:val="008B5AF0"/>
    <w:rsid w:val="008D6277"/>
    <w:rsid w:val="00904A7D"/>
    <w:rsid w:val="0099776A"/>
    <w:rsid w:val="009C0EF3"/>
    <w:rsid w:val="009D432D"/>
    <w:rsid w:val="009F04BD"/>
    <w:rsid w:val="00A43C3B"/>
    <w:rsid w:val="00A70A17"/>
    <w:rsid w:val="00A901EA"/>
    <w:rsid w:val="00AB389B"/>
    <w:rsid w:val="00AB4DA4"/>
    <w:rsid w:val="00AC1B84"/>
    <w:rsid w:val="00B10A19"/>
    <w:rsid w:val="00B50FFE"/>
    <w:rsid w:val="00B5480F"/>
    <w:rsid w:val="00B63266"/>
    <w:rsid w:val="00B66825"/>
    <w:rsid w:val="00B80D10"/>
    <w:rsid w:val="00B954FE"/>
    <w:rsid w:val="00B969E5"/>
    <w:rsid w:val="00B97D18"/>
    <w:rsid w:val="00BB1333"/>
    <w:rsid w:val="00BC6AAD"/>
    <w:rsid w:val="00C34688"/>
    <w:rsid w:val="00C82DFB"/>
    <w:rsid w:val="00CA4254"/>
    <w:rsid w:val="00CB3A9D"/>
    <w:rsid w:val="00CE676E"/>
    <w:rsid w:val="00CF435F"/>
    <w:rsid w:val="00D14428"/>
    <w:rsid w:val="00D147AD"/>
    <w:rsid w:val="00D40840"/>
    <w:rsid w:val="00D802AB"/>
    <w:rsid w:val="00DB002C"/>
    <w:rsid w:val="00DB48D4"/>
    <w:rsid w:val="00DC7EF8"/>
    <w:rsid w:val="00DE67B6"/>
    <w:rsid w:val="00E26D56"/>
    <w:rsid w:val="00E342A2"/>
    <w:rsid w:val="00E35822"/>
    <w:rsid w:val="00E43B28"/>
    <w:rsid w:val="00E54AD5"/>
    <w:rsid w:val="00E909A1"/>
    <w:rsid w:val="00ED77E2"/>
    <w:rsid w:val="00ED7E30"/>
    <w:rsid w:val="00EF4E73"/>
    <w:rsid w:val="00F20152"/>
    <w:rsid w:val="00F336F7"/>
    <w:rsid w:val="00F930A5"/>
    <w:rsid w:val="00F95DA5"/>
    <w:rsid w:val="00FA1C41"/>
    <w:rsid w:val="00FA5894"/>
    <w:rsid w:val="00FE0197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0490"/>
  <w15:chartTrackingRefBased/>
  <w15:docId w15:val="{9A06E836-CC11-F24D-AB41-2FAF5077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4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43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430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Almeras</dc:creator>
  <cp:keywords/>
  <dc:description/>
  <cp:lastModifiedBy>Christophe Abraham</cp:lastModifiedBy>
  <cp:revision>2</cp:revision>
  <cp:lastPrinted>2026-02-23T13:20:00Z</cp:lastPrinted>
  <dcterms:created xsi:type="dcterms:W3CDTF">2026-03-10T10:01:00Z</dcterms:created>
  <dcterms:modified xsi:type="dcterms:W3CDTF">2026-03-10T10:01:00Z</dcterms:modified>
</cp:coreProperties>
</file>